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F9B" w:rsidRPr="00A82F9B" w:rsidRDefault="00A82F9B" w:rsidP="00A82F9B">
      <w:pPr>
        <w:jc w:val="both"/>
        <w:rPr>
          <w:b/>
          <w:sz w:val="24"/>
          <w:szCs w:val="24"/>
        </w:rPr>
      </w:pPr>
      <w:bookmarkStart w:id="0" w:name="_GoBack"/>
      <w:r w:rsidRPr="00A82F9B">
        <w:rPr>
          <w:b/>
          <w:sz w:val="24"/>
          <w:szCs w:val="24"/>
        </w:rPr>
        <w:t>LEY 1/2026, DE 8 DE ABRIL, INTEGRAL DE IMPULSO DE LA ECONOMÍA SOCIAL</w:t>
      </w:r>
    </w:p>
    <w:p w:rsidR="00A82F9B" w:rsidRDefault="00A82F9B" w:rsidP="00A82F9B">
      <w:pPr>
        <w:jc w:val="both"/>
      </w:pPr>
      <w:hyperlink r:id="rId5" w:history="1">
        <w:r>
          <w:rPr>
            <w:rStyle w:val="Hipervnculo"/>
          </w:rPr>
          <w:t>Disposición 7967 del BOE núm. 87 de 2026</w:t>
        </w:r>
      </w:hyperlink>
    </w:p>
    <w:p w:rsidR="00A82F9B" w:rsidRPr="00A82F9B" w:rsidRDefault="00A82F9B" w:rsidP="00A82F9B">
      <w:pPr>
        <w:jc w:val="both"/>
        <w:rPr>
          <w:b/>
          <w:color w:val="FF0000"/>
          <w:sz w:val="28"/>
          <w:szCs w:val="28"/>
        </w:rPr>
      </w:pPr>
      <w:r>
        <w:rPr>
          <w:b/>
          <w:color w:val="FF0000"/>
          <w:sz w:val="28"/>
          <w:szCs w:val="28"/>
        </w:rPr>
        <w:t xml:space="preserve">MODIFICACIONS A LA LLEI DE </w:t>
      </w:r>
      <w:r w:rsidRPr="00A82F9B">
        <w:rPr>
          <w:b/>
          <w:color w:val="FF0000"/>
          <w:sz w:val="28"/>
          <w:szCs w:val="28"/>
        </w:rPr>
        <w:t>L’ IMV</w:t>
      </w:r>
    </w:p>
    <w:p w:rsidR="00A82F9B" w:rsidRPr="00A82F9B" w:rsidRDefault="00A82F9B" w:rsidP="00A82F9B">
      <w:pPr>
        <w:jc w:val="both"/>
        <w:rPr>
          <w:b/>
          <w:sz w:val="24"/>
          <w:szCs w:val="24"/>
        </w:rPr>
      </w:pPr>
      <w:r w:rsidRPr="00A82F9B">
        <w:rPr>
          <w:b/>
          <w:sz w:val="24"/>
          <w:szCs w:val="24"/>
        </w:rPr>
        <w:t>Disposición final tercera.</w:t>
      </w:r>
      <w:r w:rsidRPr="00A82F9B">
        <w:rPr>
          <w:b/>
          <w:sz w:val="24"/>
          <w:szCs w:val="24"/>
        </w:rPr>
        <w:t> </w:t>
      </w:r>
      <w:r w:rsidRPr="00A82F9B">
        <w:rPr>
          <w:b/>
          <w:sz w:val="24"/>
          <w:szCs w:val="24"/>
        </w:rPr>
        <w:t xml:space="preserve">Modificación de la Ley 19/2021, de 20 de diciembre, por la que se establece el ingreso mínimo vital. Se introducen las siguientes modificaciones en la Ley 19/2021, de 20 de diciembre, por la que se establece el ingreso mínimo vital: </w:t>
      </w:r>
    </w:p>
    <w:p w:rsidR="00A82F9B" w:rsidRDefault="00A82F9B" w:rsidP="00A82F9B">
      <w:pPr>
        <w:jc w:val="both"/>
      </w:pPr>
      <w:r w:rsidRPr="00A82F9B">
        <w:rPr>
          <w:b/>
        </w:rPr>
        <w:t>Uno.</w:t>
      </w:r>
      <w:r w:rsidRPr="00A82F9B">
        <w:rPr>
          <w:b/>
        </w:rPr>
        <w:t> </w:t>
      </w:r>
      <w:r w:rsidRPr="00A82F9B">
        <w:rPr>
          <w:b/>
        </w:rPr>
        <w:t>Se modifica el apartado 4 del artículo 10, con la introducción de un párrafo segundo, que queda redactado como sigue:</w:t>
      </w:r>
      <w:r>
        <w:t xml:space="preserve"> </w:t>
      </w:r>
    </w:p>
    <w:p w:rsidR="00A82F9B" w:rsidRDefault="00A82F9B" w:rsidP="00A82F9B">
      <w:pPr>
        <w:jc w:val="both"/>
      </w:pPr>
      <w:r>
        <w:t>«4.</w:t>
      </w:r>
      <w:r>
        <w:t> </w:t>
      </w:r>
      <w:r>
        <w:t xml:space="preserve">/.../ No obstante, en las solicitudes de revisión motivadas por haber dejado de residir en el mismo domicilio alguna de las personas integrantes de una unidad de convivencia, no será necesario cumplir el requisito de residir en el mismo domicilio durante al menos seis meses de forma continuada por las personas que permanecen en la unidad de convivencia después de la modificación.» </w:t>
      </w:r>
    </w:p>
    <w:p w:rsidR="00A82F9B" w:rsidRDefault="00A82F9B" w:rsidP="00A82F9B">
      <w:pPr>
        <w:jc w:val="both"/>
        <w:rPr>
          <w:b/>
        </w:rPr>
      </w:pPr>
      <w:r w:rsidRPr="00A82F9B">
        <w:rPr>
          <w:b/>
        </w:rPr>
        <w:t>Dos.</w:t>
      </w:r>
      <w:r w:rsidRPr="00A82F9B">
        <w:rPr>
          <w:b/>
        </w:rPr>
        <w:t> </w:t>
      </w:r>
      <w:r w:rsidRPr="00A82F9B">
        <w:rPr>
          <w:b/>
        </w:rPr>
        <w:t>Se modifica el párrafo cuarto, del apartado 6, del artículo 13, que queda redactado como sigue:</w:t>
      </w:r>
    </w:p>
    <w:p w:rsidR="00A82F9B" w:rsidRDefault="00A82F9B" w:rsidP="00A82F9B">
      <w:pPr>
        <w:jc w:val="both"/>
      </w:pPr>
      <w:r>
        <w:t xml:space="preserve"> «6.</w:t>
      </w:r>
      <w:r>
        <w:t> </w:t>
      </w:r>
      <w:r>
        <w:t xml:space="preserve">/.../ En ningún caso la actualización del importe del ingreso mínimo vital a que se refiere el artículo 16.4 podrá dar lugar a la percepción de una cantidad mensual superior a la diferencia entre la renta garantizada aplicable conforme a este artículo y la cuantía que, una vez actualizada, tuviera en esa fecha la pensión o de la suma de las pensiones y, en su caso, subsidios por desempleo, percibidos por el beneficiario individual o cualquiera de los miembros de la unidad de convivencia.» </w:t>
      </w:r>
    </w:p>
    <w:p w:rsidR="00A82F9B" w:rsidRDefault="00A82F9B" w:rsidP="00A82F9B">
      <w:pPr>
        <w:jc w:val="both"/>
      </w:pPr>
      <w:r w:rsidRPr="00A82F9B">
        <w:rPr>
          <w:b/>
        </w:rPr>
        <w:t>Tres.</w:t>
      </w:r>
      <w:r w:rsidRPr="00A82F9B">
        <w:rPr>
          <w:b/>
        </w:rPr>
        <w:t> </w:t>
      </w:r>
      <w:r w:rsidRPr="00A82F9B">
        <w:rPr>
          <w:b/>
        </w:rPr>
        <w:t>Se modifica el artículo 16, con la introducción de un nuevo párrafo 2</w:t>
      </w:r>
      <w:proofErr w:type="gramStart"/>
      <w:r w:rsidRPr="00A82F9B">
        <w:rPr>
          <w:b/>
        </w:rPr>
        <w:t>.º</w:t>
      </w:r>
      <w:proofErr w:type="gramEnd"/>
      <w:r w:rsidRPr="00A82F9B">
        <w:rPr>
          <w:b/>
        </w:rPr>
        <w:t xml:space="preserve"> en el apartado 2, y la adición de nuevos apartados 3, 4 y 5, con la siguiente redacción:</w:t>
      </w:r>
      <w:r>
        <w:t xml:space="preserve"> </w:t>
      </w:r>
    </w:p>
    <w:p w:rsidR="00A82F9B" w:rsidRDefault="00A82F9B" w:rsidP="00A82F9B">
      <w:pPr>
        <w:jc w:val="both"/>
      </w:pPr>
      <w:r>
        <w:t>«2.</w:t>
      </w:r>
      <w:r>
        <w:t> </w:t>
      </w:r>
      <w:r>
        <w:t xml:space="preserve">/.../ Si la modificación de circunstancias conllevara un incremento en el importe de la prestación, lo previsto en el párrafo anterior se aplicará siempre que dicha modificación se comunique dentro del plazo correspondiente establecido en el artículo 36. En otro caso, la modificación tendrá efectos a partir del día primero del mes siguiente a aquel en que se produzca la comunicación. </w:t>
      </w:r>
    </w:p>
    <w:p w:rsidR="00A82F9B" w:rsidRDefault="00A82F9B" w:rsidP="00A82F9B">
      <w:pPr>
        <w:jc w:val="both"/>
      </w:pPr>
      <w:r>
        <w:t>3.</w:t>
      </w:r>
      <w:r>
        <w:t> </w:t>
      </w:r>
      <w:r>
        <w:t xml:space="preserve"> Sin perjuicio de la obligación de comunicar la modificación de circunstancias dentro del plazo correspondiente establecido en el artículo 36, en el marco de los procesos de mantenimiento y control de la prestación, la entidad gestora podrá actualizar de oficio la cuantía de la prestación por modificación de las circunstancias personales. En caso de incremento, la modificación tendrá efectos a partir del día primero del mes siguiente al de la fecha en la que la entidad gestora proceda al tratamiento de los datos. En caso de requerir información adicional que deba ser facilitada por los interesados, la modificación tendrá efectos a partir del día primero del mes siguiente a aquel en el que fuera cumplimentado el requerimiento. </w:t>
      </w:r>
    </w:p>
    <w:p w:rsidR="00A82F9B" w:rsidRDefault="00A82F9B" w:rsidP="00A82F9B">
      <w:pPr>
        <w:jc w:val="both"/>
      </w:pPr>
      <w:r>
        <w:lastRenderedPageBreak/>
        <w:t>4.</w:t>
      </w:r>
      <w:r>
        <w:t> </w:t>
      </w:r>
      <w:r>
        <w:t xml:space="preserve"> La cuantía de la prestación se actualizará dos veces en cada ejercicio económico tomando como referencia los ingresos anuales computables del ejercicio anterior, de acuerdo con los datos suministrados por la Agencia Estatal de la Administración Tributaria y de las haciendas tributarias forales de Navarra y de los territorios históricos del País Vasco. La primera actualización tendrá carácter provisional en función de los datos tributarios e imputaciones de rentas que en ese momento obren en las citadas administraciones tributarias, y tendrá efectos económicos del día primero del mes siguiente a aquel en que se lleve a cabo, sin perjuicio de los efectos definitivos de la segunda actualización. La segunda actualización se llevará a cabo en función de los datos tributarios consolidados, y tendrá carácter definitivo y efectos económicos del día 1 de enero de cada año. </w:t>
      </w:r>
    </w:p>
    <w:p w:rsidR="00A82F9B" w:rsidRDefault="00A82F9B" w:rsidP="00A82F9B">
      <w:pPr>
        <w:jc w:val="both"/>
      </w:pPr>
      <w:r>
        <w:t>5.</w:t>
      </w:r>
      <w:r>
        <w:t> </w:t>
      </w:r>
      <w:r>
        <w:t xml:space="preserve"> Una vez reconocido el derecho a la prestación de ingreso mínimo vital, la incorporación de una nueva persona al domicilio en el que residan otras personas que integran una unidad de convivencia y con las que se mantenga alguno de los vínculos establecidos en el artículo 6.1, no requerirá el transcurso del plazo de seis meses a que se refiere el párrafo primero del artículo 10.3. El titular de la prestación presentará una declaración responsable sobre el consentimiento del nuevo integrante de la unidad de convivencia para su inclusión como beneficiario del ingreso mínimo vital, que acompañará a la comunicación prevista en el artículo 36.1.b) o como consecuencia del requerimiento de la entidad gestora de la prestación. La entidad gestora suspenderá el derecho a la prestación hasta que proceda a la revisión de la misma y, en su caso, de su importe, previa comprobación del cumplimiento de los requisitos establecidos en esta ley, excepto el plazo de convivencia de seis meses. La incorporación del nuevo miembro tendrá los efectos previstos en los apartados 2 y 3 del presente artículo para los supuestos de modificación de circunstancias personales.» </w:t>
      </w:r>
    </w:p>
    <w:p w:rsidR="00A82F9B" w:rsidRDefault="00A82F9B" w:rsidP="00A82F9B">
      <w:pPr>
        <w:jc w:val="both"/>
      </w:pPr>
      <w:r w:rsidRPr="00A82F9B">
        <w:rPr>
          <w:b/>
        </w:rPr>
        <w:t>Cuatro.</w:t>
      </w:r>
      <w:r w:rsidRPr="00A82F9B">
        <w:rPr>
          <w:b/>
        </w:rPr>
        <w:t> </w:t>
      </w:r>
      <w:r w:rsidRPr="00A82F9B">
        <w:rPr>
          <w:b/>
        </w:rPr>
        <w:t>Se da nueva redacción al apartado 1 de la disposición transitoria séptima, que queda redactada como sigue:</w:t>
      </w:r>
      <w:r>
        <w:t xml:space="preserve"> </w:t>
      </w:r>
    </w:p>
    <w:p w:rsidR="00A82F9B" w:rsidRDefault="00A82F9B" w:rsidP="00A82F9B">
      <w:pPr>
        <w:jc w:val="both"/>
      </w:pPr>
      <w:r>
        <w:t>«1.</w:t>
      </w:r>
      <w:r>
        <w:t> </w:t>
      </w:r>
      <w:r>
        <w:t xml:space="preserve">De forma excepcional, desde el 30 de septiembre de 2020, fecha de entrada en vigor del Real Decreto-ley 30/2020, de 29 de septiembre, de medidas sociales en defensa del empleo, las Entidades del Tercer Sector de Acción Social, debidamente inscritas en el registro que a tal efecto se crea, podrán emitir certificado para la acreditación de las circunstancias previstas en el artículo 21.9 y 10, así como realizar otras actuaciones relacionadas con la promoción de estrategias de inclusión previstas en el artículo 31.1. Los certificados expedidos por los mediadores sociales del ingreso mínimo vital deberán ser firmados por una o un trabajador social perteneciente a la entidad, debidamente colegiado. En dicho certificado se hará constar su número de colegiado. Con carácter anual, los mediadores sociales del ingreso mínimo vital comunicarán a la entidad gestora el mantenimiento o modificación de los certificados previstos en los párrafos d) y e) del artículo 21.9, así como del certificado de exclusión social establecido en el artículo 21.10. Esta falta de comunicación, en el plazo establecido, dará lugar a la suspensión del abono de la prestación. La entidad gestora, en los términos previstos en el artículo 23.4, podrá comunicar a los mediadores sociales del ingreso mínimo vital las resoluciones de las prestaciones del ingreso mínimo vital para la realización de aquellas actividades que tengan encomendadas, en el marco de la colaboración y cooperación que en la gestión y control del ingreso mínimo vital corresponde al Instituto Nacional de la Seguridad Social.» </w:t>
      </w:r>
    </w:p>
    <w:p w:rsidR="00A82F9B" w:rsidRDefault="00A82F9B" w:rsidP="00A82F9B">
      <w:pPr>
        <w:jc w:val="both"/>
      </w:pPr>
      <w:r w:rsidRPr="00A82F9B">
        <w:rPr>
          <w:b/>
        </w:rPr>
        <w:lastRenderedPageBreak/>
        <w:t>Cinco.</w:t>
      </w:r>
      <w:r w:rsidRPr="00A82F9B">
        <w:rPr>
          <w:b/>
        </w:rPr>
        <w:t> </w:t>
      </w:r>
      <w:r w:rsidRPr="00A82F9B">
        <w:rPr>
          <w:b/>
        </w:rPr>
        <w:t>Se añade una disposición transitoria undécima con el siguiente contenido:</w:t>
      </w:r>
      <w:r>
        <w:t xml:space="preserve"> </w:t>
      </w:r>
    </w:p>
    <w:p w:rsidR="000955D9" w:rsidRDefault="00A82F9B" w:rsidP="00A82F9B">
      <w:pPr>
        <w:jc w:val="both"/>
      </w:pPr>
      <w:r>
        <w:t>«Disposición transitoria undécima.</w:t>
      </w:r>
      <w:r>
        <w:t> </w:t>
      </w:r>
      <w:r>
        <w:t>Procedimientos de reconocimiento del derecho a la prestación de ingreso mínimo vital. La redacción dada por la Ley 1/2026, integral de impulso de la economía social, a los artículos 10.4 y 16, será aplicable a los procedimientos de reconocimiento y mantenimiento del derecho a la prestación de ingreso mínimo vital, en los que, en la fecha de entrada en vigor, no se hubiera dictado resolución o no se hubiera resuelto la reclamación administrativa previa formulada conforme al artículo 71 de la Ley 36/2011, de 10 de octubre, reguladora de la jurisdicción social. No obstante, los efectos económicos establecidos en el artículo 16.4 se aplicarán exclusivamente a las actualizaciones anuales del importe del ingreso mínimo vital que se hayan practicado a partir del 1 de enero de 2025.»</w:t>
      </w:r>
      <w:bookmarkEnd w:id="0"/>
    </w:p>
    <w:sectPr w:rsidR="000955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F9B"/>
    <w:rsid w:val="000955D9"/>
    <w:rsid w:val="00A82F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82F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82F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oe.es/boe/dias/2026/04/09/pdfs/BOE-A-2026-796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1161</Words>
  <Characters>6391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sixto gargante petit</dc:creator>
  <cp:lastModifiedBy>sixto gargante petit</cp:lastModifiedBy>
  <cp:revision>1</cp:revision>
  <dcterms:created xsi:type="dcterms:W3CDTF">2026-05-03T09:05:00Z</dcterms:created>
  <dcterms:modified xsi:type="dcterms:W3CDTF">2026-05-03T09:10:00Z</dcterms:modified>
</cp:coreProperties>
</file>